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572" w:rsidRDefault="009E424B">
      <w:pPr>
        <w:pStyle w:val="TITOLOCAPITOL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t>Titolo</w:t>
      </w:r>
    </w:p>
    <w:p w:rsidR="00320572" w:rsidRDefault="009E424B">
      <w:pPr>
        <w:pStyle w:val="PARAGRAFO"/>
        <w:rPr>
          <w:rFonts w:ascii="Times New Roman" w:eastAsia="Times New Roman" w:hAnsi="Times New Roman" w:cs="Times New Roman"/>
          <w:kern w:val="0"/>
          <w:sz w:val="20"/>
          <w:szCs w:val="20"/>
        </w:rPr>
      </w:pPr>
      <w:proofErr w:type="spellStart"/>
      <w:r>
        <w:t>Lorem</w:t>
      </w:r>
      <w:proofErr w:type="spellEnd"/>
      <w:r>
        <w:t xml:space="preserve"> ipsum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, urna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tempus, </w:t>
      </w:r>
      <w:proofErr w:type="spellStart"/>
      <w:r>
        <w:t>tellus</w:t>
      </w:r>
      <w:proofErr w:type="spellEnd"/>
      <w:r>
        <w:t xml:space="preserve"> ipsum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, </w:t>
      </w:r>
      <w:proofErr w:type="spellStart"/>
      <w:r>
        <w:t>ac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dui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vitae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mi </w:t>
      </w:r>
      <w:proofErr w:type="spellStart"/>
      <w:r>
        <w:t>at</w:t>
      </w:r>
      <w:proofErr w:type="spellEnd"/>
      <w:r>
        <w:t xml:space="preserve"> ex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r>
        <w:t xml:space="preserve">urna </w:t>
      </w:r>
      <w:proofErr w:type="spellStart"/>
      <w:r>
        <w:t>eu</w:t>
      </w:r>
      <w:proofErr w:type="spellEnd"/>
      <w:r>
        <w:t xml:space="preserve">,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nunc.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libero </w:t>
      </w:r>
      <w:proofErr w:type="spellStart"/>
      <w:r>
        <w:t>euismod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. </w:t>
      </w:r>
      <w:proofErr w:type="spellStart"/>
      <w:r>
        <w:t>Donec</w:t>
      </w:r>
      <w:proofErr w:type="spellEnd"/>
      <w:r>
        <w:t xml:space="preserve"> finibus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,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. Nulla </w:t>
      </w:r>
      <w:proofErr w:type="spellStart"/>
      <w:r>
        <w:t>posuere</w:t>
      </w:r>
      <w:proofErr w:type="spellEnd"/>
      <w:r>
        <w:t xml:space="preserve"> nunc ex,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vehicula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mollis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ut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port</w:t>
      </w:r>
      <w:r>
        <w:t>titor</w:t>
      </w:r>
      <w:proofErr w:type="spellEnd"/>
      <w:r>
        <w:t xml:space="preserve"> id a </w:t>
      </w:r>
      <w:proofErr w:type="spellStart"/>
      <w:r>
        <w:t>metus</w:t>
      </w:r>
      <w:proofErr w:type="spellEnd"/>
      <w:r>
        <w:t xml:space="preserve">.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,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,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ante podcast.</w:t>
      </w:r>
      <w:r>
        <w:rPr>
          <w:rFonts w:eastAsia="Atkinson Hyperlegible Regular" w:cs="Atkinson Hyperlegible Regular"/>
          <w:kern w:val="0"/>
          <w:vertAlign w:val="superscript"/>
        </w:rPr>
        <w:footnoteReference w:id="2"/>
      </w:r>
      <w:r>
        <w:t xml:space="preserve">. </w:t>
      </w:r>
      <w:proofErr w:type="spellStart"/>
      <w:r>
        <w:t>Etiam</w:t>
      </w:r>
      <w:proofErr w:type="spellEnd"/>
      <w:r>
        <w:t xml:space="preserve"> id </w:t>
      </w:r>
      <w:proofErr w:type="spellStart"/>
      <w:r>
        <w:t>nisl</w:t>
      </w:r>
      <w:proofErr w:type="spellEnd"/>
      <w:r>
        <w:t xml:space="preserve"> id </w:t>
      </w:r>
      <w:proofErr w:type="spellStart"/>
      <w:r>
        <w:t>erat</w:t>
      </w:r>
      <w:proofErr w:type="spellEnd"/>
      <w:r>
        <w:t xml:space="preserve"> pulvinar </w:t>
      </w:r>
      <w:proofErr w:type="spellStart"/>
      <w:r>
        <w:t>faucibus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vitae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, in </w:t>
      </w:r>
      <w:proofErr w:type="spellStart"/>
      <w:r>
        <w:t>ultrices</w:t>
      </w:r>
      <w:proofErr w:type="spellEnd"/>
      <w:r>
        <w:t xml:space="preserve"> mi. </w:t>
      </w:r>
      <w:proofErr w:type="spellStart"/>
      <w:r>
        <w:t>Integer</w:t>
      </w:r>
      <w:proofErr w:type="spellEnd"/>
      <w:r>
        <w:t xml:space="preserve"> ante </w:t>
      </w:r>
      <w:proofErr w:type="spellStart"/>
      <w:r>
        <w:t>lacus</w:t>
      </w:r>
      <w:proofErr w:type="spellEnd"/>
      <w:r>
        <w:t xml:space="preserve">,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 a, porta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lo</w:t>
      </w:r>
      <w:r>
        <w:t>rem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ac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 lacinia </w:t>
      </w:r>
      <w:proofErr w:type="spellStart"/>
      <w:r>
        <w:t>vel</w:t>
      </w:r>
      <w:proofErr w:type="spellEnd"/>
      <w:r>
        <w:t xml:space="preserve">. Ut </w:t>
      </w:r>
      <w:proofErr w:type="spellStart"/>
      <w:r>
        <w:t>ut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augue</w:t>
      </w:r>
      <w:proofErr w:type="spellEnd"/>
      <w:r>
        <w:t xml:space="preserve">,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,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libero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. </w:t>
      </w:r>
      <w:proofErr w:type="spellStart"/>
      <w:r>
        <w:t>Vivamus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: </w:t>
      </w:r>
    </w:p>
    <w:p w:rsidR="00320572" w:rsidRDefault="009E424B">
      <w:pPr>
        <w:pStyle w:val="PARAGRAFO"/>
      </w:pPr>
      <w:r>
        <w:rPr>
          <w:i/>
          <w:iCs/>
          <w:kern w:val="0"/>
        </w:rPr>
        <w:t xml:space="preserve">Hic </w:t>
      </w:r>
      <w:proofErr w:type="spellStart"/>
      <w:r>
        <w:rPr>
          <w:i/>
          <w:iCs/>
          <w:kern w:val="0"/>
        </w:rPr>
        <w:t>saltus</w:t>
      </w:r>
      <w:proofErr w:type="spellEnd"/>
      <w:r>
        <w:t>. Un</w:t>
      </w:r>
      <w:r>
        <w:t xml:space="preserve">a delle più importanti voci della poesia italiana di questi anni è Umberto Fiori, già autore dei testi degli </w:t>
      </w:r>
      <w:proofErr w:type="spellStart"/>
      <w:r>
        <w:t>Stormy</w:t>
      </w:r>
      <w:proofErr w:type="spellEnd"/>
      <w:r>
        <w:t xml:space="preserve"> </w:t>
      </w:r>
      <w:proofErr w:type="spellStart"/>
      <w:r>
        <w:t>Six</w:t>
      </w:r>
      <w:proofErr w:type="spellEnd"/>
      <w:r>
        <w:t>: inutile domandarsi quanta differenza ‘poietica’ vi sia tra i due tipi di testo che Fiori ha realizzato. Senza dubbio, si può riconoscer</w:t>
      </w:r>
      <w:r>
        <w:t>e nei testi della ‘canzone d’autore’ (è solo un caso che richiami il ‘cinema d’autore’?)</w:t>
      </w:r>
      <w:r>
        <w:rPr>
          <w:rFonts w:ascii="Atkinson Hyperlegible Bold" w:eastAsia="Atkinson Hyperlegible Bold" w:hAnsi="Atkinson Hyperlegible Bold" w:cs="Atkinson Hyperlegible Bold"/>
          <w:kern w:val="0"/>
          <w:vertAlign w:val="superscript"/>
        </w:rPr>
        <w:footnoteReference w:id="3"/>
      </w:r>
      <w:r>
        <w:t xml:space="preserve"> che sfrutta la </w:t>
      </w:r>
      <w:r>
        <w:lastRenderedPageBreak/>
        <w:t xml:space="preserve">dimensione cooperativa del genere musicale, valorizzando le diverse abilità dei componenti del gruppo, una minima vocazione letteraria. Ma ritengo che </w:t>
      </w:r>
      <w:r>
        <w:t xml:space="preserve">la questione vada posta a un altro livello: il cantautore non è il cantante che ha in mente un testo da cantare sommessamente con una chitarra, ma uno che ha «una vena musicale» che va «oltre i ‘quattro accordi’ rimproverati al </w:t>
      </w:r>
      <w:proofErr w:type="spellStart"/>
      <w:r>
        <w:t>chitarrismo</w:t>
      </w:r>
      <w:proofErr w:type="spellEnd"/>
      <w:r>
        <w:t xml:space="preserve"> primitivo della </w:t>
      </w:r>
      <w:r>
        <w:t>‘nuova canzone italiana’ dei primi anni Settanta», insomma è prima di tutto «un ‘vero compositore’».</w:t>
      </w:r>
      <w:r>
        <w:rPr>
          <w:rFonts w:ascii="Atkinson Hyperlegible Bold" w:eastAsia="Atkinson Hyperlegible Bold" w:hAnsi="Atkinson Hyperlegible Bold" w:cs="Atkinson Hyperlegible Bold"/>
          <w:kern w:val="0"/>
          <w:vertAlign w:val="superscript"/>
        </w:rPr>
        <w:footnoteReference w:id="4"/>
      </w:r>
      <w:r>
        <w:t xml:space="preserve"> Mi viene in mente la seducente armatura vuota dentro la quale si nasconde un ‘cavaliere inesistente’: personaggio affatto vero, nella misura in cui è un’i</w:t>
      </w:r>
      <w:r>
        <w:t xml:space="preserve">potesi artistica, suffragabile con tanti esempi, anche molto diversi tra loro, affatto peculiari, originalissimi (come lo è Paolo Conte), nella cui opera il testo verbale ha caratteristiche e qualità incomprensibili – o comprensibili fino a un certo punto </w:t>
      </w:r>
      <w:r>
        <w:t>– se si prescinde dal testo musicale con il quale entra in simbiotico rapporto.</w:t>
      </w:r>
    </w:p>
    <w:p w:rsidR="00320572" w:rsidRDefault="009E424B">
      <w:pPr>
        <w:pStyle w:val="TITOLOPARAGRAFO"/>
      </w:pPr>
      <w:r>
        <w:t>1.0 Versi di alcune canzoni</w:t>
      </w:r>
    </w:p>
    <w:p w:rsidR="00320572" w:rsidRDefault="009E424B">
      <w:pPr>
        <w:pStyle w:val="ELENCO"/>
        <w:numPr>
          <w:ilvl w:val="0"/>
          <w:numId w:val="2"/>
        </w:numPr>
        <w:rPr>
          <w:rFonts w:ascii="Atkinson Hyperlegible Regular" w:hAnsi="Atkinson Hyperlegible Regular"/>
        </w:rPr>
      </w:pPr>
      <w:r>
        <w:rPr>
          <w:rFonts w:ascii="Atkinson Hyperlegible Regular" w:hAnsi="Atkinson Hyperlegible Regular"/>
        </w:rPr>
        <w:t>Primo</w:t>
      </w:r>
    </w:p>
    <w:p w:rsidR="00320572" w:rsidRDefault="009E424B">
      <w:pPr>
        <w:pStyle w:val="ELENCO"/>
        <w:numPr>
          <w:ilvl w:val="0"/>
          <w:numId w:val="2"/>
        </w:numPr>
        <w:rPr>
          <w:rFonts w:ascii="Atkinson Hyperlegible Regular" w:hAnsi="Atkinson Hyperlegible Regular"/>
        </w:rPr>
      </w:pPr>
      <w:r>
        <w:rPr>
          <w:rFonts w:ascii="Atkinson Hyperlegible Regular" w:hAnsi="Atkinson Hyperlegible Regular"/>
        </w:rPr>
        <w:t>Secondo</w:t>
      </w:r>
    </w:p>
    <w:p w:rsidR="00320572" w:rsidRDefault="009E424B">
      <w:pPr>
        <w:pStyle w:val="ELENCO"/>
        <w:numPr>
          <w:ilvl w:val="0"/>
          <w:numId w:val="2"/>
        </w:numPr>
        <w:rPr>
          <w:rFonts w:ascii="Atkinson Hyperlegible Regular" w:hAnsi="Atkinson Hyperlegible Regular"/>
        </w:rPr>
      </w:pPr>
      <w:r>
        <w:rPr>
          <w:rFonts w:ascii="Atkinson Hyperlegible Regular" w:hAnsi="Atkinson Hyperlegible Regular"/>
        </w:rPr>
        <w:t>Terzo</w:t>
      </w:r>
    </w:p>
    <w:p w:rsidR="00320572" w:rsidRDefault="009E424B">
      <w:pPr>
        <w:pStyle w:val="ELENCO"/>
        <w:numPr>
          <w:ilvl w:val="0"/>
          <w:numId w:val="2"/>
        </w:numPr>
        <w:rPr>
          <w:rFonts w:ascii="Atkinson Hyperlegible Regular" w:hAnsi="Atkinson Hyperlegible Regular"/>
        </w:rPr>
      </w:pPr>
      <w:r>
        <w:rPr>
          <w:rFonts w:ascii="Atkinson Hyperlegible Regular" w:hAnsi="Atkinson Hyperlegible Regular"/>
        </w:rPr>
        <w:t>Quarto</w:t>
      </w:r>
    </w:p>
    <w:p w:rsidR="00320572" w:rsidRDefault="009E424B">
      <w:pPr>
        <w:pStyle w:val="TITOLOTABELLA"/>
        <w:spacing w:before="280" w:after="160" w:line="216" w:lineRule="exact"/>
        <w:rPr>
          <w:rFonts w:ascii="Atkinson Hyperlegible Bold" w:eastAsia="Atkinson Hyperlegible Bold" w:hAnsi="Atkinson Hyperlegible Bold" w:cs="Atkinson Hyperlegible Bold"/>
          <w:sz w:val="18"/>
          <w:szCs w:val="18"/>
        </w:rPr>
      </w:pPr>
      <w:r>
        <w:rPr>
          <w:rFonts w:ascii="Atkinson Hyperlegible Bold" w:hAnsi="Atkinson Hyperlegible Bold"/>
          <w:sz w:val="18"/>
          <w:szCs w:val="18"/>
        </w:rPr>
        <w:t>Tabella 1. Stima statistica di animali domestici in quattro nazioni europee</w:t>
      </w:r>
    </w:p>
    <w:tbl>
      <w:tblPr>
        <w:tblStyle w:val="TableNormal"/>
        <w:tblW w:w="7143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shd w:val="clear" w:color="auto" w:fill="4472C4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189"/>
        <w:gridCol w:w="1189"/>
        <w:gridCol w:w="1192"/>
        <w:gridCol w:w="1192"/>
        <w:gridCol w:w="1192"/>
      </w:tblGrid>
      <w:tr w:rsidR="00320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4"/>
          <w:tblHeader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Intestazionetabella"/>
              <w:spacing w:before="280" w:after="160"/>
              <w:jc w:val="center"/>
            </w:pPr>
            <w:r>
              <w:rPr>
                <w:sz w:val="16"/>
                <w:szCs w:val="16"/>
              </w:rPr>
              <w:t>ANIMALI DOMESTICI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Intestazionetabella"/>
              <w:spacing w:before="280" w:after="160"/>
              <w:jc w:val="center"/>
            </w:pPr>
            <w:r>
              <w:t>CANI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Intestazionetabella"/>
              <w:spacing w:before="280" w:after="160"/>
              <w:jc w:val="center"/>
            </w:pPr>
            <w:r>
              <w:t>GATTI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Intestazionetabella"/>
              <w:spacing w:before="280" w:after="160"/>
              <w:jc w:val="center"/>
            </w:pPr>
            <w:r>
              <w:t>CRICETI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Intestazionetabella"/>
              <w:spacing w:before="280" w:after="160"/>
              <w:jc w:val="center"/>
            </w:pPr>
            <w:r>
              <w:t>CANI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Intestazionetabella"/>
              <w:spacing w:before="280" w:after="160"/>
              <w:jc w:val="center"/>
            </w:pPr>
            <w:r>
              <w:t>CRI</w:t>
            </w:r>
            <w:r>
              <w:t>CETI</w:t>
            </w:r>
          </w:p>
        </w:tc>
      </w:tr>
      <w:tr w:rsidR="00320572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</w:pPr>
            <w:r>
              <w:rPr>
                <w:rFonts w:ascii="Atkinson Hyperlegible Bold" w:hAnsi="Atkinson Hyperlegible Bold"/>
              </w:rPr>
              <w:t>ITALIA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1,2 mln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 mln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300.000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1,2 mln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 mln</w:t>
            </w:r>
          </w:p>
        </w:tc>
      </w:tr>
      <w:tr w:rsidR="00320572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</w:pPr>
            <w:r>
              <w:rPr>
                <w:rFonts w:ascii="Atkinson Hyperlegible Bold" w:hAnsi="Atkinson Hyperlegible Bold"/>
              </w:rPr>
              <w:t>FRANCIA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1,2 mln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 mln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300.000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1,2 mln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 mln</w:t>
            </w:r>
          </w:p>
        </w:tc>
      </w:tr>
      <w:tr w:rsidR="00320572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</w:pPr>
            <w:r>
              <w:rPr>
                <w:rFonts w:ascii="Atkinson Hyperlegible Bold" w:hAnsi="Atkinson Hyperlegible Bold"/>
              </w:rPr>
              <w:lastRenderedPageBreak/>
              <w:t>SPAGNA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1,2 mln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 mln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300.000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1,2 mln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 mln</w:t>
            </w:r>
          </w:p>
        </w:tc>
      </w:tr>
      <w:tr w:rsidR="00320572">
        <w:tblPrEx>
          <w:shd w:val="clear" w:color="auto" w:fill="CDD4E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0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</w:pPr>
            <w:r>
              <w:rPr>
                <w:rFonts w:ascii="Atkinson Hyperlegible Bold" w:hAnsi="Atkinson Hyperlegible Bold"/>
              </w:rPr>
              <w:t>GERMANIA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1,2 mln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 mln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300.000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1,2 mln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0572" w:rsidRDefault="009E424B">
            <w:pPr>
              <w:pStyle w:val="Testotabella"/>
              <w:spacing w:after="160"/>
              <w:jc w:val="right"/>
            </w:pPr>
            <w:r>
              <w:t>1 mln</w:t>
            </w:r>
          </w:p>
        </w:tc>
      </w:tr>
    </w:tbl>
    <w:p w:rsidR="00320572" w:rsidRDefault="00320572">
      <w:pPr>
        <w:pStyle w:val="ELENCO"/>
        <w:spacing w:line="240" w:lineRule="auto"/>
        <w:ind w:left="108" w:right="0" w:hanging="108"/>
      </w:pPr>
    </w:p>
    <w:p w:rsidR="00320572" w:rsidRDefault="009E424B">
      <w:pPr>
        <w:pStyle w:val="Didascaliaimmagine"/>
      </w:pPr>
      <w:r>
        <w:t>Gentile concessione del cinema x.</w:t>
      </w:r>
    </w:p>
    <w:p w:rsidR="00320572" w:rsidRDefault="00320572">
      <w:pPr>
        <w:pStyle w:val="ELENCO"/>
      </w:pPr>
    </w:p>
    <w:p w:rsidR="00320572" w:rsidRDefault="009E424B">
      <w:pPr>
        <w:pStyle w:val="TitoloFigura"/>
        <w:spacing w:before="340" w:line="216" w:lineRule="exact"/>
      </w:pPr>
      <w:r>
        <w:rPr>
          <w:rFonts w:ascii="Atkinson Hyperlegible Bold" w:hAnsi="Atkinson Hyperlegible Bold"/>
          <w:sz w:val="18"/>
          <w:szCs w:val="18"/>
        </w:rPr>
        <w:t xml:space="preserve">Figura 1. Il cinema italiano nelle </w:t>
      </w:r>
      <w:r>
        <w:rPr>
          <w:rFonts w:ascii="Atkinson Hyperlegible Bold" w:hAnsi="Atkinson Hyperlegible Bold"/>
          <w:sz w:val="18"/>
          <w:szCs w:val="18"/>
        </w:rPr>
        <w:t>sale storiche</w:t>
      </w:r>
      <w:r>
        <w:rPr>
          <w:rFonts w:ascii="Atkinson Hyperlegible Bold" w:eastAsia="Atkinson Hyperlegible Bold" w:hAnsi="Atkinson Hyperlegible Bold" w:cs="Atkinson Hyperlegible Bold"/>
          <w:noProof/>
          <w:sz w:val="18"/>
          <w:szCs w:val="18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190500</wp:posOffset>
            </wp:positionV>
            <wp:extent cx="2841170" cy="3788226"/>
            <wp:effectExtent l="0" t="0" r="0" b="0"/>
            <wp:wrapTopAndBottom distT="152400" distB="152400"/>
            <wp:docPr id="1073741825" name="officeArt object" descr="IMG_724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7249.jpeg" descr="IMG_7249.jpe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170" cy="378822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320572" w:rsidRDefault="009E424B">
      <w:pPr>
        <w:pStyle w:val="Didascaliaimmagine"/>
      </w:pPr>
      <w:r>
        <w:lastRenderedPageBreak/>
        <w:t>Gentile concessione del cinema x.</w:t>
      </w:r>
    </w:p>
    <w:p w:rsidR="00320572" w:rsidRDefault="009E424B">
      <w:pPr>
        <w:pStyle w:val="TITOLOPARAGRAFO"/>
      </w:pPr>
      <w:r>
        <w:t xml:space="preserve">2.0 Titolo paragrafo </w:t>
      </w:r>
    </w:p>
    <w:p w:rsidR="00320572" w:rsidRDefault="009E424B">
      <w:pPr>
        <w:pStyle w:val="PARAGRAFO"/>
      </w:pPr>
      <w:r>
        <w:rPr>
          <w:i/>
          <w:iCs/>
          <w:kern w:val="0"/>
        </w:rPr>
        <w:t xml:space="preserve">Hic </w:t>
      </w:r>
      <w:proofErr w:type="spellStart"/>
      <w:r>
        <w:rPr>
          <w:i/>
          <w:iCs/>
          <w:kern w:val="0"/>
        </w:rPr>
        <w:t>saltus</w:t>
      </w:r>
      <w:proofErr w:type="spellEnd"/>
      <w:r>
        <w:t xml:space="preserve">. Una delle più importanti voci della poesia italiana di questi anni è Umberto Fiori, già autore dei testi degli </w:t>
      </w:r>
      <w:proofErr w:type="spellStart"/>
      <w:r>
        <w:t>Stormy</w:t>
      </w:r>
      <w:proofErr w:type="spellEnd"/>
      <w:r>
        <w:t xml:space="preserve"> </w:t>
      </w:r>
      <w:proofErr w:type="spellStart"/>
      <w:r>
        <w:t>Six</w:t>
      </w:r>
      <w:proofErr w:type="spellEnd"/>
      <w:r>
        <w:t>: inutile domandarsi quanta differenza ‘poietica’ vi</w:t>
      </w:r>
      <w:r>
        <w:t xml:space="preserve"> sia tra i due tipi di testo che Fiori ha realizzato. Senza dubbio, si può riconoscere nei testi della ‘canzone d’autore’ (è solo un caso che richiami il ‘cinema d’autore’?)</w:t>
      </w:r>
      <w:r>
        <w:rPr>
          <w:rFonts w:ascii="Atkinson Hyperlegible Bold" w:eastAsia="Atkinson Hyperlegible Bold" w:hAnsi="Atkinson Hyperlegible Bold" w:cs="Atkinson Hyperlegible Bold"/>
          <w:kern w:val="0"/>
          <w:vertAlign w:val="superscript"/>
        </w:rPr>
        <w:footnoteReference w:id="5"/>
      </w:r>
      <w:r>
        <w:t>.</w:t>
      </w:r>
    </w:p>
    <w:sectPr w:rsidR="00320572" w:rsidSect="007915BF">
      <w:headerReference w:type="default" r:id="rId8"/>
      <w:footerReference w:type="default" r:id="rId9"/>
      <w:pgSz w:w="9639" w:h="13608"/>
      <w:pgMar w:top="1531" w:right="1134" w:bottom="1531" w:left="1134" w:header="709" w:footer="1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424B" w:rsidRDefault="009E424B">
      <w:r>
        <w:separator/>
      </w:r>
    </w:p>
  </w:endnote>
  <w:endnote w:type="continuationSeparator" w:id="0">
    <w:p w:rsidR="009E424B" w:rsidRDefault="009E4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nos Regular">
    <w:altName w:val="Cambria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tkinson Hyperlegible Regular">
    <w:altName w:val="Cambria"/>
    <w:charset w:val="00"/>
    <w:family w:val="roman"/>
    <w:pitch w:val="default"/>
  </w:font>
  <w:font w:name="Atkinson Hyperlegible Bold">
    <w:altName w:val="Cambria"/>
    <w:charset w:val="00"/>
    <w:family w:val="roman"/>
    <w:pitch w:val="default"/>
  </w:font>
  <w:font w:name="Tinos Bold">
    <w:altName w:val="Cambria"/>
    <w:charset w:val="00"/>
    <w:family w:val="roman"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572" w:rsidRDefault="009E424B">
    <w:pPr>
      <w:pStyle w:val="Intestazioneepidipagina"/>
      <w:pBdr>
        <w:top w:val="single" w:sz="2" w:space="0" w:color="4472C4"/>
      </w:pBdr>
    </w:pPr>
    <w:r>
      <w:fldChar w:fldCharType="begin"/>
    </w:r>
    <w:r>
      <w:instrText xml:space="preserve"> PAGE </w:instrText>
    </w:r>
    <w:r w:rsidR="007915BF">
      <w:fldChar w:fldCharType="separate"/>
    </w:r>
    <w:r w:rsidR="007915B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424B" w:rsidRDefault="009E424B">
      <w:r>
        <w:separator/>
      </w:r>
    </w:p>
  </w:footnote>
  <w:footnote w:type="continuationSeparator" w:id="0">
    <w:p w:rsidR="009E424B" w:rsidRDefault="009E424B">
      <w:r>
        <w:continuationSeparator/>
      </w:r>
    </w:p>
  </w:footnote>
  <w:footnote w:type="continuationNotice" w:id="1">
    <w:p w:rsidR="009E424B" w:rsidRDefault="009E424B"/>
  </w:footnote>
  <w:footnote w:id="2">
    <w:p w:rsidR="00320572" w:rsidRDefault="009E424B">
      <w:pPr>
        <w:pStyle w:val="NOTAPIDIPAGINA"/>
      </w:pPr>
      <w:r>
        <w:rPr>
          <w:rFonts w:ascii="Atkinson Hyperlegible Bold" w:eastAsia="Atkinson Hyperlegible Bold" w:hAnsi="Atkinson Hyperlegible Bold" w:cs="Atkinson Hyperlegible Bold"/>
          <w:vertAlign w:val="superscript"/>
        </w:rPr>
        <w:footnoteRef/>
      </w:r>
      <w:r>
        <w:rPr>
          <w:rFonts w:eastAsia="Arial Unicode MS" w:cs="Arial Unicode MS"/>
        </w:rPr>
        <w:t xml:space="preserve"> Ancora in una recente intervista, all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 xml:space="preserve">inciso del giornalista che ricordava </w:t>
      </w:r>
      <w:r>
        <w:rPr>
          <w:rFonts w:eastAsia="Arial Unicode MS" w:cs="Arial Unicode MS"/>
        </w:rPr>
        <w:t>«</w:t>
      </w:r>
      <w:r>
        <w:rPr>
          <w:rFonts w:eastAsia="Arial Unicode MS" w:cs="Arial Unicode MS"/>
        </w:rPr>
        <w:t>De Gregori si stizziva quando lo chiamavano poeta</w:t>
      </w:r>
      <w:r>
        <w:rPr>
          <w:rFonts w:eastAsia="Arial Unicode MS" w:cs="Arial Unicode MS"/>
        </w:rPr>
        <w:t>…»</w:t>
      </w:r>
      <w:r>
        <w:rPr>
          <w:rFonts w:eastAsia="Arial Unicode MS" w:cs="Arial Unicode MS"/>
        </w:rPr>
        <w:t xml:space="preserve">, Conte dichiarava: </w:t>
      </w:r>
      <w:r>
        <w:rPr>
          <w:rFonts w:eastAsia="Arial Unicode MS" w:cs="Arial Unicode MS"/>
        </w:rPr>
        <w:t>«</w:t>
      </w:r>
      <w:r>
        <w:rPr>
          <w:rFonts w:eastAsia="Arial Unicode MS" w:cs="Arial Unicode MS"/>
        </w:rPr>
        <w:t>Ma anch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 xml:space="preserve">io lo avevo detto tante volte, in effetti sono due arti diverse: con la poesia parti da un </w:t>
      </w:r>
      <w:r>
        <w:rPr>
          <w:rFonts w:eastAsia="Arial Unicode MS" w:cs="Arial Unicode MS"/>
        </w:rPr>
        <w:t>foglio bianco da riempire, con la musica invece hai degli appigli per far le rime, e poi nella poesia sei solo, con la musica hai a che fare con molta gente, gli stessi musicisti in primis, e poi c</w:t>
      </w:r>
      <w:r>
        <w:rPr>
          <w:rFonts w:eastAsia="Arial Unicode MS" w:cs="Arial Unicode MS"/>
        </w:rPr>
        <w:t xml:space="preserve">’è </w:t>
      </w:r>
      <w:r>
        <w:rPr>
          <w:rFonts w:eastAsia="Arial Unicode MS" w:cs="Arial Unicode MS"/>
        </w:rPr>
        <w:t>il pubblico. Per</w:t>
      </w:r>
      <w:r>
        <w:rPr>
          <w:rFonts w:eastAsia="Arial Unicode MS" w:cs="Arial Unicode MS"/>
        </w:rPr>
        <w:t xml:space="preserve">ò </w:t>
      </w:r>
      <w:r>
        <w:rPr>
          <w:rFonts w:eastAsia="Arial Unicode MS" w:cs="Arial Unicode MS"/>
        </w:rPr>
        <w:t>non si pu</w:t>
      </w:r>
      <w:r>
        <w:rPr>
          <w:rFonts w:eastAsia="Arial Unicode MS" w:cs="Arial Unicode MS"/>
        </w:rPr>
        <w:t xml:space="preserve">ò </w:t>
      </w:r>
      <w:r>
        <w:rPr>
          <w:rFonts w:eastAsia="Arial Unicode MS" w:cs="Arial Unicode MS"/>
        </w:rPr>
        <w:t>nascondere che</w:t>
      </w:r>
      <w:r>
        <w:rPr>
          <w:rFonts w:eastAsia="Arial Unicode MS" w:cs="Arial Unicode MS"/>
        </w:rPr>
        <w:t xml:space="preserve">… </w:t>
      </w:r>
      <w:r>
        <w:rPr>
          <w:rFonts w:eastAsia="Arial Unicode MS" w:cs="Arial Unicode MS"/>
        </w:rPr>
        <w:t>comunque si</w:t>
      </w:r>
      <w:r>
        <w:rPr>
          <w:rFonts w:eastAsia="Arial Unicode MS" w:cs="Arial Unicode MS"/>
        </w:rPr>
        <w:t>amo dei poeti (ride)</w:t>
      </w:r>
      <w:r>
        <w:rPr>
          <w:rFonts w:eastAsia="Arial Unicode MS" w:cs="Arial Unicode MS"/>
        </w:rPr>
        <w:t>»</w:t>
      </w:r>
      <w:r>
        <w:rPr>
          <w:rFonts w:eastAsia="Arial Unicode MS" w:cs="Arial Unicode MS"/>
        </w:rPr>
        <w:t xml:space="preserve">: Valtorta 2022, pp. 3-4. </w:t>
      </w:r>
    </w:p>
  </w:footnote>
  <w:footnote w:id="3">
    <w:p w:rsidR="00320572" w:rsidRDefault="009E424B">
      <w:pPr>
        <w:pStyle w:val="NOTAPIDIPAGINA"/>
      </w:pPr>
      <w:r>
        <w:rPr>
          <w:rFonts w:ascii="Tinos Bold" w:eastAsia="Tinos Bold" w:hAnsi="Tinos Bold" w:cs="Tinos Bold"/>
          <w:sz w:val="24"/>
          <w:szCs w:val="24"/>
          <w:vertAlign w:val="superscript"/>
        </w:rPr>
        <w:footnoteRef/>
      </w:r>
      <w:r>
        <w:rPr>
          <w:rFonts w:eastAsia="Arial Unicode MS" w:cs="Arial Unicode MS"/>
        </w:rPr>
        <w:t xml:space="preserve"> In verit</w:t>
      </w:r>
      <w:r>
        <w:rPr>
          <w:rFonts w:eastAsia="Arial Unicode MS" w:cs="Arial Unicode MS"/>
        </w:rPr>
        <w:t xml:space="preserve">à </w:t>
      </w:r>
      <w:r>
        <w:rPr>
          <w:rFonts w:eastAsia="Arial Unicode MS" w:cs="Arial Unicode MS"/>
        </w:rPr>
        <w:t xml:space="preserve">il genere della </w:t>
      </w:r>
      <w:r>
        <w:rPr>
          <w:rFonts w:eastAsia="Arial Unicode MS" w:cs="Arial Unicode MS"/>
        </w:rPr>
        <w:t>‘</w:t>
      </w:r>
      <w:r>
        <w:rPr>
          <w:rFonts w:eastAsia="Arial Unicode MS" w:cs="Arial Unicode MS"/>
        </w:rPr>
        <w:t>canzone d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>autore</w:t>
      </w:r>
      <w:r>
        <w:rPr>
          <w:rFonts w:eastAsia="Arial Unicode MS" w:cs="Arial Unicode MS"/>
        </w:rPr>
        <w:t xml:space="preserve">’ </w:t>
      </w:r>
      <w:r>
        <w:rPr>
          <w:rFonts w:eastAsia="Arial Unicode MS" w:cs="Arial Unicode MS"/>
        </w:rPr>
        <w:t xml:space="preserve">andrebbe fatto rientrare nel grande alveo della </w:t>
      </w:r>
      <w:proofErr w:type="spellStart"/>
      <w:r>
        <w:rPr>
          <w:rFonts w:eastAsia="Arial Unicode MS" w:cs="Arial Unicode MS"/>
        </w:rPr>
        <w:t>popular</w:t>
      </w:r>
      <w:proofErr w:type="spellEnd"/>
      <w:r>
        <w:rPr>
          <w:rFonts w:eastAsia="Arial Unicode MS" w:cs="Arial Unicode MS"/>
        </w:rPr>
        <w:t xml:space="preserve"> music (in inglese, per non confonderla con la </w:t>
      </w:r>
      <w:r>
        <w:rPr>
          <w:rFonts w:eastAsia="Arial Unicode MS" w:cs="Arial Unicode MS"/>
        </w:rPr>
        <w:t>‘</w:t>
      </w:r>
      <w:r>
        <w:rPr>
          <w:rFonts w:eastAsia="Arial Unicode MS" w:cs="Arial Unicode MS"/>
        </w:rPr>
        <w:t>musica popolare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 xml:space="preserve">, ossia folkloristica, etnica) per cui si </w:t>
      </w:r>
      <w:r>
        <w:rPr>
          <w:rFonts w:eastAsia="Arial Unicode MS" w:cs="Arial Unicode MS"/>
        </w:rPr>
        <w:t>intende una produzione destinata a un pubblico ampio, internazionale, di massa, e di cui l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 xml:space="preserve">etichetta nostrana di </w:t>
      </w:r>
      <w:r>
        <w:rPr>
          <w:rFonts w:eastAsia="Arial Unicode MS" w:cs="Arial Unicode MS"/>
        </w:rPr>
        <w:t>‘</w:t>
      </w:r>
      <w:r>
        <w:rPr>
          <w:rFonts w:eastAsia="Arial Unicode MS" w:cs="Arial Unicode MS"/>
        </w:rPr>
        <w:t xml:space="preserve">musica </w:t>
      </w:r>
      <w:proofErr w:type="spellStart"/>
      <w:r>
        <w:rPr>
          <w:rFonts w:eastAsia="Arial Unicode MS" w:cs="Arial Unicode MS"/>
        </w:rPr>
        <w:t>leggera</w:t>
      </w:r>
      <w:r>
        <w:rPr>
          <w:rFonts w:eastAsia="Arial Unicode MS" w:cs="Arial Unicode MS"/>
        </w:rPr>
        <w:t>’</w:t>
      </w:r>
      <w:proofErr w:type="spellEnd"/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</w:rPr>
        <w:t>non riesce a rendere l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 xml:space="preserve">idea (per un primo sguardo sulla canzone italiana Borgna 1992 e </w:t>
      </w:r>
      <w:proofErr w:type="spellStart"/>
      <w:r>
        <w:rPr>
          <w:rFonts w:eastAsia="Arial Unicode MS" w:cs="Arial Unicode MS"/>
        </w:rPr>
        <w:t>Liperi</w:t>
      </w:r>
      <w:proofErr w:type="spellEnd"/>
      <w:r>
        <w:rPr>
          <w:rFonts w:eastAsia="Arial Unicode MS" w:cs="Arial Unicode MS"/>
        </w:rPr>
        <w:t xml:space="preserve"> 1999); ma le questioni legate al</w:t>
      </w:r>
      <w:r>
        <w:rPr>
          <w:rFonts w:eastAsia="Arial Unicode MS" w:cs="Arial Unicode MS"/>
        </w:rPr>
        <w:t>la complessit</w:t>
      </w:r>
      <w:r>
        <w:rPr>
          <w:rFonts w:eastAsia="Arial Unicode MS" w:cs="Arial Unicode MS"/>
        </w:rPr>
        <w:t xml:space="preserve">à </w:t>
      </w:r>
      <w:r>
        <w:rPr>
          <w:rFonts w:eastAsia="Arial Unicode MS" w:cs="Arial Unicode MS"/>
        </w:rPr>
        <w:t xml:space="preserve">della definizione restano aperte. In merito, complementari sono gli studi di </w:t>
      </w:r>
      <w:proofErr w:type="spellStart"/>
      <w:r>
        <w:rPr>
          <w:rFonts w:eastAsia="Arial Unicode MS" w:cs="Arial Unicode MS"/>
        </w:rPr>
        <w:t>Middleton</w:t>
      </w:r>
      <w:proofErr w:type="spellEnd"/>
      <w:r>
        <w:rPr>
          <w:rFonts w:eastAsia="Arial Unicode MS" w:cs="Arial Unicode MS"/>
        </w:rPr>
        <w:t xml:space="preserve"> 1994 per quanto riguarda la produzione anglo-americana; e di Fabbri 2008, nonch</w:t>
      </w:r>
      <w:r>
        <w:rPr>
          <w:rFonts w:eastAsia="Arial Unicode MS" w:cs="Arial Unicode MS"/>
        </w:rPr>
        <w:t xml:space="preserve">é </w:t>
      </w:r>
      <w:r>
        <w:rPr>
          <w:rFonts w:eastAsia="Arial Unicode MS" w:cs="Arial Unicode MS"/>
        </w:rPr>
        <w:t xml:space="preserve">Fabbri 1989, pp. 347-362, in cui compare, tra gli altri, un interessante </w:t>
      </w:r>
      <w:r>
        <w:rPr>
          <w:rFonts w:eastAsia="Arial Unicode MS" w:cs="Arial Unicode MS"/>
        </w:rPr>
        <w:t>intervento di Umberto Fiori, Tra quaresima e carnevale. Pratiche e strategie della canzone d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>autore, gi</w:t>
      </w:r>
      <w:r>
        <w:rPr>
          <w:rFonts w:eastAsia="Arial Unicode MS" w:cs="Arial Unicode MS"/>
        </w:rPr>
        <w:t xml:space="preserve">à </w:t>
      </w:r>
      <w:r>
        <w:rPr>
          <w:rFonts w:eastAsia="Arial Unicode MS" w:cs="Arial Unicode MS"/>
        </w:rPr>
        <w:t xml:space="preserve">uscito in </w:t>
      </w:r>
      <w:r>
        <w:rPr>
          <w:rFonts w:eastAsia="Arial Unicode MS" w:cs="Arial Unicode MS"/>
        </w:rPr>
        <w:t>“</w:t>
      </w:r>
      <w:r>
        <w:rPr>
          <w:rFonts w:eastAsia="Arial Unicode MS" w:cs="Arial Unicode MS"/>
        </w:rPr>
        <w:t>Musica/realt</w:t>
      </w:r>
      <w:r>
        <w:rPr>
          <w:rFonts w:eastAsia="Arial Unicode MS" w:cs="Arial Unicode MS"/>
        </w:rPr>
        <w:t>à”</w:t>
      </w:r>
      <w:r>
        <w:rPr>
          <w:rFonts w:eastAsia="Arial Unicode MS" w:cs="Arial Unicode MS"/>
        </w:rPr>
        <w:t xml:space="preserve">, 3, 1980, pp. 111-126, per quanto riguarda il versante italiano. Ma se si volesse risalire il Novecento, non si dimentichino </w:t>
      </w:r>
      <w:r>
        <w:rPr>
          <w:rFonts w:eastAsia="Arial Unicode MS" w:cs="Arial Unicode MS"/>
        </w:rPr>
        <w:t xml:space="preserve">le riflessioni di Adorno 2004. </w:t>
      </w:r>
    </w:p>
  </w:footnote>
  <w:footnote w:id="4">
    <w:p w:rsidR="00320572" w:rsidRDefault="009E424B">
      <w:pPr>
        <w:pStyle w:val="NOTAPIDIPAGINA"/>
      </w:pPr>
      <w:r>
        <w:rPr>
          <w:rFonts w:ascii="Tinos Bold" w:eastAsia="Tinos Bold" w:hAnsi="Tinos Bold" w:cs="Tinos Bold"/>
          <w:sz w:val="24"/>
          <w:szCs w:val="24"/>
          <w:vertAlign w:val="superscript"/>
        </w:rPr>
        <w:footnoteRef/>
      </w:r>
      <w:r>
        <w:rPr>
          <w:rFonts w:eastAsia="Arial Unicode MS" w:cs="Arial Unicode MS"/>
        </w:rPr>
        <w:t xml:space="preserve"> Fabbri, </w:t>
      </w:r>
      <w:r>
        <w:rPr>
          <w:rFonts w:ascii="Tinos Regular" w:hAnsi="Tinos Regular"/>
          <w:i/>
          <w:iCs/>
        </w:rPr>
        <w:t>Prefazione</w:t>
      </w:r>
      <w:r>
        <w:rPr>
          <w:rFonts w:eastAsia="Arial Unicode MS" w:cs="Arial Unicode MS"/>
        </w:rPr>
        <w:t>, in Furnari 2009, p. 11.</w:t>
      </w:r>
    </w:p>
  </w:footnote>
  <w:footnote w:id="5">
    <w:p w:rsidR="00320572" w:rsidRDefault="009E424B">
      <w:pPr>
        <w:pStyle w:val="NOTAPIDIPAGINA"/>
      </w:pPr>
      <w:r>
        <w:rPr>
          <w:rFonts w:ascii="Tinos Bold" w:eastAsia="Tinos Bold" w:hAnsi="Tinos Bold" w:cs="Tinos Bold"/>
          <w:sz w:val="24"/>
          <w:szCs w:val="24"/>
          <w:vertAlign w:val="superscript"/>
        </w:rPr>
        <w:footnoteRef/>
      </w:r>
      <w:r>
        <w:rPr>
          <w:rFonts w:eastAsia="Arial Unicode MS" w:cs="Arial Unicode MS"/>
        </w:rPr>
        <w:t xml:space="preserve"> In verit</w:t>
      </w:r>
      <w:r>
        <w:rPr>
          <w:rFonts w:eastAsia="Arial Unicode MS" w:cs="Arial Unicode MS"/>
        </w:rPr>
        <w:t xml:space="preserve">à </w:t>
      </w:r>
      <w:r>
        <w:rPr>
          <w:rFonts w:eastAsia="Arial Unicode MS" w:cs="Arial Unicode MS"/>
        </w:rPr>
        <w:t xml:space="preserve">il genere della </w:t>
      </w:r>
      <w:r>
        <w:rPr>
          <w:rFonts w:eastAsia="Arial Unicode MS" w:cs="Arial Unicode MS"/>
        </w:rPr>
        <w:t>‘</w:t>
      </w:r>
      <w:r>
        <w:rPr>
          <w:rFonts w:eastAsia="Arial Unicode MS" w:cs="Arial Unicode MS"/>
        </w:rPr>
        <w:t>canzone d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>autore</w:t>
      </w:r>
      <w:r>
        <w:rPr>
          <w:rFonts w:eastAsia="Arial Unicode MS" w:cs="Arial Unicode MS"/>
        </w:rPr>
        <w:t xml:space="preserve">’ </w:t>
      </w:r>
      <w:r>
        <w:rPr>
          <w:rFonts w:eastAsia="Arial Unicode MS" w:cs="Arial Unicode MS"/>
        </w:rPr>
        <w:t xml:space="preserve">andrebbe fatto rientrare nel grande alveo della </w:t>
      </w:r>
      <w:proofErr w:type="spellStart"/>
      <w:r>
        <w:rPr>
          <w:rFonts w:eastAsia="Arial Unicode MS" w:cs="Arial Unicode MS"/>
        </w:rPr>
        <w:t>popular</w:t>
      </w:r>
      <w:proofErr w:type="spellEnd"/>
      <w:r>
        <w:rPr>
          <w:rFonts w:eastAsia="Arial Unicode MS" w:cs="Arial Unicode MS"/>
        </w:rPr>
        <w:t xml:space="preserve"> music (in inglese, per non confonderla con la </w:t>
      </w:r>
      <w:r>
        <w:rPr>
          <w:rFonts w:eastAsia="Arial Unicode MS" w:cs="Arial Unicode MS"/>
        </w:rPr>
        <w:t>‘</w:t>
      </w:r>
      <w:r>
        <w:rPr>
          <w:rFonts w:eastAsia="Arial Unicode MS" w:cs="Arial Unicode MS"/>
        </w:rPr>
        <w:t>musica popolare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 xml:space="preserve">, ossia </w:t>
      </w:r>
      <w:r>
        <w:rPr>
          <w:rFonts w:eastAsia="Arial Unicode MS" w:cs="Arial Unicode MS"/>
        </w:rPr>
        <w:t>folkloristica, etnica) per cui si intende una produzione destinata a un pubblico ampio, internazionale, di massa, e di cui l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 xml:space="preserve">etichetta nostrana di </w:t>
      </w:r>
      <w:r>
        <w:rPr>
          <w:rFonts w:eastAsia="Arial Unicode MS" w:cs="Arial Unicode MS"/>
        </w:rPr>
        <w:t>‘</w:t>
      </w:r>
      <w:r>
        <w:rPr>
          <w:rFonts w:eastAsia="Arial Unicode MS" w:cs="Arial Unicode MS"/>
        </w:rPr>
        <w:t xml:space="preserve">musica </w:t>
      </w:r>
      <w:proofErr w:type="spellStart"/>
      <w:r>
        <w:rPr>
          <w:rFonts w:eastAsia="Arial Unicode MS" w:cs="Arial Unicode MS"/>
        </w:rPr>
        <w:t>leggera</w:t>
      </w:r>
      <w:r>
        <w:rPr>
          <w:rFonts w:eastAsia="Arial Unicode MS" w:cs="Arial Unicode MS"/>
        </w:rPr>
        <w:t>’</w:t>
      </w:r>
      <w:proofErr w:type="spellEnd"/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</w:rPr>
        <w:t>non riesce a rendere l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 xml:space="preserve">idea (per un primo sguardo sulla canzone italiana Borgna 1992 e </w:t>
      </w:r>
      <w:proofErr w:type="spellStart"/>
      <w:r>
        <w:rPr>
          <w:rFonts w:eastAsia="Arial Unicode MS" w:cs="Arial Unicode MS"/>
        </w:rPr>
        <w:t>Liper</w:t>
      </w:r>
      <w:r>
        <w:rPr>
          <w:rFonts w:eastAsia="Arial Unicode MS" w:cs="Arial Unicode MS"/>
        </w:rPr>
        <w:t>i</w:t>
      </w:r>
      <w:proofErr w:type="spellEnd"/>
      <w:r>
        <w:rPr>
          <w:rFonts w:eastAsia="Arial Unicode MS" w:cs="Arial Unicode MS"/>
        </w:rPr>
        <w:t xml:space="preserve"> 1999); ma le questioni legate alla complessit</w:t>
      </w:r>
      <w:r>
        <w:rPr>
          <w:rFonts w:eastAsia="Arial Unicode MS" w:cs="Arial Unicode MS"/>
        </w:rPr>
        <w:t xml:space="preserve">à </w:t>
      </w:r>
      <w:r>
        <w:rPr>
          <w:rFonts w:eastAsia="Arial Unicode MS" w:cs="Arial Unicode MS"/>
        </w:rPr>
        <w:t xml:space="preserve">della definizione restano aperte. In merito, complementari sono gli studi di </w:t>
      </w:r>
      <w:proofErr w:type="spellStart"/>
      <w:r>
        <w:rPr>
          <w:rFonts w:eastAsia="Arial Unicode MS" w:cs="Arial Unicode MS"/>
        </w:rPr>
        <w:t>Middleton</w:t>
      </w:r>
      <w:proofErr w:type="spellEnd"/>
      <w:r>
        <w:rPr>
          <w:rFonts w:eastAsia="Arial Unicode MS" w:cs="Arial Unicode MS"/>
        </w:rPr>
        <w:t xml:space="preserve"> 1994 per quanto riguarda la produzione anglo-americana; e di Fabbri 2008, nonch</w:t>
      </w:r>
      <w:r>
        <w:rPr>
          <w:rFonts w:eastAsia="Arial Unicode MS" w:cs="Arial Unicode MS"/>
        </w:rPr>
        <w:t xml:space="preserve">é </w:t>
      </w:r>
      <w:r>
        <w:rPr>
          <w:rFonts w:eastAsia="Arial Unicode MS" w:cs="Arial Unicode MS"/>
        </w:rPr>
        <w:t>Fabbri 1989, pp. 347-362, in cui compar</w:t>
      </w:r>
      <w:r>
        <w:rPr>
          <w:rFonts w:eastAsia="Arial Unicode MS" w:cs="Arial Unicode MS"/>
        </w:rPr>
        <w:t>e, tra gli altri, un interessante intervento di Umberto Fiori, Tra quaresima e carnevale. Pratiche e strategie della canzone d</w:t>
      </w:r>
      <w:r>
        <w:rPr>
          <w:rFonts w:eastAsia="Arial Unicode MS" w:cs="Arial Unicode MS"/>
        </w:rPr>
        <w:t>’</w:t>
      </w:r>
      <w:r>
        <w:rPr>
          <w:rFonts w:eastAsia="Arial Unicode MS" w:cs="Arial Unicode MS"/>
        </w:rPr>
        <w:t>autore, gi</w:t>
      </w:r>
      <w:r>
        <w:rPr>
          <w:rFonts w:eastAsia="Arial Unicode MS" w:cs="Arial Unicode MS"/>
        </w:rPr>
        <w:t xml:space="preserve">à </w:t>
      </w:r>
      <w:r>
        <w:rPr>
          <w:rFonts w:eastAsia="Arial Unicode MS" w:cs="Arial Unicode MS"/>
        </w:rPr>
        <w:t xml:space="preserve">uscito in </w:t>
      </w:r>
      <w:r>
        <w:rPr>
          <w:rFonts w:eastAsia="Arial Unicode MS" w:cs="Arial Unicode MS"/>
        </w:rPr>
        <w:t>“</w:t>
      </w:r>
      <w:r>
        <w:rPr>
          <w:rFonts w:eastAsia="Arial Unicode MS" w:cs="Arial Unicode MS"/>
        </w:rPr>
        <w:t>Musica/realt</w:t>
      </w:r>
      <w:r>
        <w:rPr>
          <w:rFonts w:eastAsia="Arial Unicode MS" w:cs="Arial Unicode MS"/>
        </w:rPr>
        <w:t>à”</w:t>
      </w:r>
      <w:r>
        <w:rPr>
          <w:rFonts w:eastAsia="Arial Unicode MS" w:cs="Arial Unicode MS"/>
        </w:rPr>
        <w:t xml:space="preserve">, 3, 1980, pp. 111-126, per quanto riguarda il versante italiano. Ma se si volesse risalire </w:t>
      </w:r>
      <w:r>
        <w:rPr>
          <w:rFonts w:eastAsia="Arial Unicode MS" w:cs="Arial Unicode MS"/>
        </w:rPr>
        <w:t xml:space="preserve">il Novecento, non si dimentichino le riflessioni di Adorno 2004.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572" w:rsidRDefault="00320572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2470E0"/>
    <w:multiLevelType w:val="hybridMultilevel"/>
    <w:tmpl w:val="21B2285E"/>
    <w:styleLink w:val="Puntielenco"/>
    <w:lvl w:ilvl="0" w:tplc="E7461266">
      <w:start w:val="1"/>
      <w:numFmt w:val="bullet"/>
      <w:lvlText w:val="•"/>
      <w:lvlJc w:val="left"/>
      <w:pPr>
        <w:ind w:left="756" w:hanging="189"/>
      </w:pPr>
      <w:rPr>
        <w:rFonts w:ascii="Tinos Regular" w:eastAsia="Tinos Regular" w:hAnsi="Tinos Regular" w:cs="Tino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0A6FA0">
      <w:start w:val="1"/>
      <w:numFmt w:val="bullet"/>
      <w:lvlText w:val="•"/>
      <w:lvlJc w:val="left"/>
      <w:pPr>
        <w:ind w:left="789" w:hanging="189"/>
      </w:pPr>
      <w:rPr>
        <w:rFonts w:ascii="Tinos Regular" w:eastAsia="Tinos Regular" w:hAnsi="Tinos Regular" w:cs="Tino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FEB5BE">
      <w:start w:val="1"/>
      <w:numFmt w:val="bullet"/>
      <w:lvlText w:val="•"/>
      <w:lvlJc w:val="left"/>
      <w:pPr>
        <w:ind w:left="1389" w:hanging="189"/>
      </w:pPr>
      <w:rPr>
        <w:rFonts w:ascii="Tinos Regular" w:eastAsia="Tinos Regular" w:hAnsi="Tinos Regular" w:cs="Tino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0C971C">
      <w:start w:val="1"/>
      <w:numFmt w:val="bullet"/>
      <w:lvlText w:val="•"/>
      <w:lvlJc w:val="left"/>
      <w:pPr>
        <w:ind w:left="1989" w:hanging="189"/>
      </w:pPr>
      <w:rPr>
        <w:rFonts w:ascii="Tinos Regular" w:eastAsia="Tinos Regular" w:hAnsi="Tinos Regular" w:cs="Tino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762C18">
      <w:start w:val="1"/>
      <w:numFmt w:val="bullet"/>
      <w:lvlText w:val="•"/>
      <w:lvlJc w:val="left"/>
      <w:pPr>
        <w:ind w:left="2589" w:hanging="189"/>
      </w:pPr>
      <w:rPr>
        <w:rFonts w:ascii="Tinos Regular" w:eastAsia="Tinos Regular" w:hAnsi="Tinos Regular" w:cs="Tino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16223A">
      <w:start w:val="1"/>
      <w:numFmt w:val="bullet"/>
      <w:lvlText w:val="•"/>
      <w:lvlJc w:val="left"/>
      <w:pPr>
        <w:ind w:left="3189" w:hanging="189"/>
      </w:pPr>
      <w:rPr>
        <w:rFonts w:ascii="Tinos Regular" w:eastAsia="Tinos Regular" w:hAnsi="Tinos Regular" w:cs="Tino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F4070C">
      <w:start w:val="1"/>
      <w:numFmt w:val="bullet"/>
      <w:lvlText w:val="•"/>
      <w:lvlJc w:val="left"/>
      <w:pPr>
        <w:ind w:left="3789" w:hanging="189"/>
      </w:pPr>
      <w:rPr>
        <w:rFonts w:ascii="Tinos Regular" w:eastAsia="Tinos Regular" w:hAnsi="Tinos Regular" w:cs="Tino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2A7ECE">
      <w:start w:val="1"/>
      <w:numFmt w:val="bullet"/>
      <w:lvlText w:val="•"/>
      <w:lvlJc w:val="left"/>
      <w:pPr>
        <w:ind w:left="4389" w:hanging="189"/>
      </w:pPr>
      <w:rPr>
        <w:rFonts w:ascii="Tinos Regular" w:eastAsia="Tinos Regular" w:hAnsi="Tinos Regular" w:cs="Tino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168FC0">
      <w:start w:val="1"/>
      <w:numFmt w:val="bullet"/>
      <w:lvlText w:val="•"/>
      <w:lvlJc w:val="left"/>
      <w:pPr>
        <w:ind w:left="4989" w:hanging="189"/>
      </w:pPr>
      <w:rPr>
        <w:rFonts w:ascii="Tinos Regular" w:eastAsia="Tinos Regular" w:hAnsi="Tinos Regular" w:cs="Tinos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E367CC8"/>
    <w:multiLevelType w:val="hybridMultilevel"/>
    <w:tmpl w:val="21B2285E"/>
    <w:numStyleLink w:val="Puntielenco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proofState w:spelling="clean" w:grammar="clean"/>
  <w:defaultTabStop w:val="720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572"/>
    <w:rsid w:val="00320572"/>
    <w:rsid w:val="007915BF"/>
    <w:rsid w:val="009E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  <w:jc w:val="right"/>
    </w:pPr>
    <w:rPr>
      <w:rFonts w:ascii="Atkinson Hyperlegible Regular" w:hAnsi="Atkinson Hyperlegible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ITOLOCAPITOLO">
    <w:name w:val="TITOLO CAPITOLO"/>
    <w:next w:val="PARAGRAFO"/>
    <w:pPr>
      <w:keepNext/>
      <w:pageBreakBefore/>
      <w:spacing w:after="1140" w:line="460" w:lineRule="atLeast"/>
    </w:pPr>
    <w:rPr>
      <w:rFonts w:ascii="Atkinson Hyperlegible Bold" w:hAnsi="Atkinson Hyperlegible Bold" w:cs="Arial Unicode MS"/>
      <w:color w:val="000000"/>
      <w:sz w:val="44"/>
      <w:szCs w:val="4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ARAGRAFO">
    <w:name w:val="PARAGRAFO"/>
    <w:pPr>
      <w:spacing w:line="300" w:lineRule="exact"/>
      <w:ind w:firstLine="567"/>
      <w:jc w:val="both"/>
    </w:pPr>
    <w:rPr>
      <w:rFonts w:ascii="Atkinson Hyperlegible Regular" w:hAnsi="Atkinson Hyperlegible Regular" w:cs="Arial Unicode MS"/>
      <w:color w:val="000000"/>
      <w:kern w:val="2"/>
      <w:sz w:val="24"/>
      <w:szCs w:val="24"/>
      <w:u w:color="000000"/>
    </w:rPr>
  </w:style>
  <w:style w:type="paragraph" w:customStyle="1" w:styleId="NOTAPIDIPAGINA">
    <w:name w:val="NOTA PIè DI PAGINA"/>
    <w:pPr>
      <w:spacing w:line="200" w:lineRule="exact"/>
      <w:jc w:val="both"/>
    </w:pPr>
    <w:rPr>
      <w:rFonts w:ascii="Atkinson Hyperlegible Regular" w:eastAsia="Atkinson Hyperlegible Regular" w:hAnsi="Atkinson Hyperlegible Regular" w:cs="Atkinson Hyperlegible Regular"/>
      <w:color w:val="000000"/>
      <w:sz w:val="16"/>
      <w:szCs w:val="16"/>
      <w:u w:color="000000"/>
    </w:rPr>
  </w:style>
  <w:style w:type="paragraph" w:customStyle="1" w:styleId="TITOLOPARAGRAFO">
    <w:name w:val="TITOLO PARAGRAFO"/>
    <w:pPr>
      <w:spacing w:before="280" w:after="120" w:line="280" w:lineRule="exact"/>
      <w:jc w:val="both"/>
    </w:pPr>
    <w:rPr>
      <w:rFonts w:ascii="Atkinson Hyperlegible Bold" w:hAnsi="Atkinson Hyperlegible Bold" w:cs="Arial Unicode MS"/>
      <w:color w:val="365B9D"/>
      <w:kern w:val="2"/>
      <w:sz w:val="27"/>
      <w:szCs w:val="27"/>
      <w:u w:color="000000"/>
    </w:rPr>
  </w:style>
  <w:style w:type="paragraph" w:customStyle="1" w:styleId="ELENCO">
    <w:name w:val="ELENCO"/>
    <w:pPr>
      <w:widowControl w:val="0"/>
      <w:spacing w:line="300" w:lineRule="exact"/>
      <w:ind w:right="1417"/>
    </w:pPr>
    <w:rPr>
      <w:rFonts w:ascii="Tinos Regular" w:hAnsi="Tinos Regular" w:cs="Arial Unicode MS"/>
      <w:color w:val="000000"/>
      <w:sz w:val="24"/>
      <w:szCs w:val="24"/>
      <w:u w:color="000000"/>
    </w:rPr>
  </w:style>
  <w:style w:type="numbering" w:customStyle="1" w:styleId="Puntielenco">
    <w:name w:val="Punti elenco"/>
    <w:pPr>
      <w:numPr>
        <w:numId w:val="1"/>
      </w:numPr>
    </w:pPr>
  </w:style>
  <w:style w:type="paragraph" w:customStyle="1" w:styleId="TITOLOTABELLA">
    <w:name w:val="TITOLO TABELLA"/>
    <w:pPr>
      <w:suppressAutoHyphens/>
      <w:spacing w:line="240" w:lineRule="exact"/>
      <w:outlineLvl w:val="0"/>
    </w:pPr>
    <w:rPr>
      <w:rFonts w:ascii="Tinos Bold" w:hAnsi="Tinos Bold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tabella">
    <w:name w:val="Intestazione tabella"/>
    <w:pPr>
      <w:suppressAutoHyphens/>
      <w:spacing w:line="200" w:lineRule="exact"/>
      <w:outlineLvl w:val="0"/>
    </w:pPr>
    <w:rPr>
      <w:rFonts w:ascii="Atkinson Hyperlegible Bold" w:hAnsi="Atkinson Hyperlegible Bold" w:cs="Arial Unicode MS"/>
      <w:color w:val="000000"/>
      <w:sz w:val="17"/>
      <w:szCs w:val="17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stotabella">
    <w:name w:val="Testo tabella"/>
    <w:pPr>
      <w:suppressAutoHyphens/>
      <w:spacing w:before="280" w:after="170" w:line="200" w:lineRule="exact"/>
      <w:outlineLvl w:val="0"/>
    </w:pPr>
    <w:rPr>
      <w:rFonts w:ascii="Atkinson Hyperlegible Regular" w:hAnsi="Atkinson Hyperlegible Regular" w:cs="Arial Unicode MS"/>
      <w:color w:val="000000"/>
      <w:sz w:val="16"/>
      <w:szCs w:val="16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ascaliaimmagine">
    <w:name w:val="Didascalia immagine"/>
    <w:pPr>
      <w:widowControl w:val="0"/>
      <w:spacing w:after="227" w:line="168" w:lineRule="exact"/>
      <w:ind w:right="1417"/>
    </w:pPr>
    <w:rPr>
      <w:rFonts w:ascii="Atkinson Hyperlegible Regular" w:hAnsi="Atkinson Hyperlegible Regular" w:cs="Arial Unicode MS"/>
      <w:i/>
      <w:iCs/>
      <w:color w:val="000000"/>
      <w:sz w:val="14"/>
      <w:szCs w:val="14"/>
      <w:u w:color="000000"/>
    </w:rPr>
  </w:style>
  <w:style w:type="paragraph" w:customStyle="1" w:styleId="TitoloFigura">
    <w:name w:val="Titolo Figura"/>
    <w:pPr>
      <w:widowControl w:val="0"/>
      <w:spacing w:line="240" w:lineRule="exact"/>
      <w:ind w:right="1417"/>
    </w:pPr>
    <w:rPr>
      <w:rFonts w:ascii="Tinos Bold" w:hAnsi="Tinos Bold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Montserrat Regular"/>
            <a:ea typeface="Montserrat Regular"/>
            <a:cs typeface="Montserrat Regular"/>
            <a:sym typeface="Montserra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Montserrat Regular"/>
            <a:ea typeface="Montserrat Regular"/>
            <a:cs typeface="Montserrat Regular"/>
            <a:sym typeface="Montserra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 Uniurb Sostenibile.dotx</Template>
  <TotalTime>1</TotalTime>
  <Pages>4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deli Studi di Urbino Carlo Bo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Bruscolini</dc:creator>
  <cp:lastModifiedBy>Giovanna Bruscolini</cp:lastModifiedBy>
  <cp:revision>2</cp:revision>
  <dcterms:created xsi:type="dcterms:W3CDTF">2024-12-07T14:24:00Z</dcterms:created>
  <dcterms:modified xsi:type="dcterms:W3CDTF">2024-12-07T14:24:00Z</dcterms:modified>
</cp:coreProperties>
</file>